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7273A54"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93252">
        <w:rPr>
          <w:b/>
          <w:noProof/>
          <w:sz w:val="24"/>
        </w:rPr>
        <w:t>1</w:t>
      </w:r>
      <w:r w:rsidR="008A6E5B">
        <w:rPr>
          <w:b/>
          <w:noProof/>
          <w:sz w:val="24"/>
        </w:rPr>
        <w:t>-bis</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8A6E5B">
        <w:rPr>
          <w:rFonts w:eastAsia="SimSun" w:cs="Arial"/>
          <w:b/>
          <w:noProof/>
          <w:sz w:val="24"/>
          <w:szCs w:val="24"/>
          <w:lang w:eastAsia="zh-CN"/>
        </w:rPr>
        <w:t>2</w:t>
      </w:r>
      <w:r w:rsidR="00AD0086">
        <w:rPr>
          <w:rFonts w:eastAsia="SimSun" w:cs="Arial"/>
          <w:b/>
          <w:noProof/>
          <w:sz w:val="24"/>
          <w:szCs w:val="24"/>
          <w:lang w:eastAsia="zh-CN"/>
        </w:rPr>
        <w:t>00525</w:t>
      </w:r>
    </w:p>
    <w:p w14:paraId="61C9439E" w14:textId="39CD638A"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8A6E5B">
        <w:rPr>
          <w:b/>
          <w:noProof/>
          <w:sz w:val="24"/>
        </w:rPr>
        <w:t>17</w:t>
      </w:r>
      <w:r w:rsidR="008A6E5B" w:rsidRPr="008A6E5B">
        <w:rPr>
          <w:b/>
          <w:noProof/>
          <w:sz w:val="24"/>
          <w:vertAlign w:val="superscript"/>
        </w:rPr>
        <w:t>th</w:t>
      </w:r>
      <w:r w:rsidR="00993252">
        <w:rPr>
          <w:b/>
          <w:noProof/>
          <w:sz w:val="24"/>
        </w:rPr>
        <w:t xml:space="preserve"> – </w:t>
      </w:r>
      <w:r w:rsidR="008A6E5B">
        <w:rPr>
          <w:b/>
          <w:noProof/>
          <w:sz w:val="24"/>
        </w:rPr>
        <w:t>25</w:t>
      </w:r>
      <w:r w:rsidR="00993252" w:rsidRPr="00993252">
        <w:rPr>
          <w:b/>
          <w:noProof/>
          <w:sz w:val="24"/>
          <w:vertAlign w:val="superscript"/>
        </w:rPr>
        <w:t>th</w:t>
      </w:r>
      <w:r w:rsidR="00993252">
        <w:rPr>
          <w:b/>
          <w:noProof/>
          <w:sz w:val="24"/>
        </w:rPr>
        <w:t xml:space="preserve"> </w:t>
      </w:r>
      <w:r w:rsidR="008A6E5B">
        <w:rPr>
          <w:b/>
          <w:noProof/>
          <w:sz w:val="24"/>
        </w:rPr>
        <w:t>January</w:t>
      </w:r>
      <w:r w:rsidRPr="00B01ACB">
        <w:rPr>
          <w:b/>
          <w:noProof/>
          <w:sz w:val="24"/>
        </w:rPr>
        <w:t>, 202</w:t>
      </w:r>
      <w:r w:rsidR="008A6E5B">
        <w:rPr>
          <w:b/>
          <w:noProof/>
          <w:sz w:val="24"/>
        </w:rPr>
        <w:t>2</w:t>
      </w:r>
    </w:p>
    <w:p w14:paraId="0133FF23" w14:textId="44D2A57B"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A6E5B" w:rsidRPr="008A6E5B">
        <w:rPr>
          <w:rFonts w:ascii="Arial" w:hAnsi="Arial"/>
          <w:sz w:val="24"/>
          <w:lang w:val="en-US"/>
        </w:rPr>
        <w:t>Discussion on the remaining issues for</w:t>
      </w:r>
      <w:r w:rsidR="00AD0086">
        <w:rPr>
          <w:rFonts w:ascii="Arial" w:hAnsi="Arial"/>
          <w:sz w:val="24"/>
          <w:lang w:val="en-US"/>
        </w:rPr>
        <w:t xml:space="preserve"> NTN</w:t>
      </w:r>
      <w:r w:rsidR="008A6E5B" w:rsidRPr="008A6E5B">
        <w:rPr>
          <w:rFonts w:ascii="Arial" w:hAnsi="Arial"/>
          <w:sz w:val="24"/>
          <w:lang w:val="en-US"/>
        </w:rPr>
        <w:t xml:space="preserve"> timing requirements</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55B8BF2"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8A6E5B">
        <w:rPr>
          <w:rFonts w:ascii="Arial" w:hAnsi="Arial"/>
          <w:sz w:val="24"/>
          <w:lang w:val="pt-BR"/>
        </w:rPr>
        <w:t>6</w:t>
      </w:r>
      <w:r w:rsidR="008E7061">
        <w:rPr>
          <w:rFonts w:ascii="Arial" w:hAnsi="Arial"/>
          <w:sz w:val="24"/>
          <w:lang w:val="pt-BR"/>
        </w:rPr>
        <w:t>.13.5.</w:t>
      </w:r>
      <w:r w:rsidR="007B6AD4">
        <w:rPr>
          <w:rFonts w:ascii="Arial" w:hAnsi="Arial"/>
          <w:sz w:val="24"/>
          <w:lang w:val="pt-BR"/>
        </w:rPr>
        <w:t>4</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D8E2088" w14:textId="4071CEFA" w:rsidR="00151455" w:rsidRDefault="00151455" w:rsidP="000678DD">
      <w:pPr>
        <w:rPr>
          <w:lang w:val="en-US" w:eastAsia="zh-CN"/>
        </w:rPr>
      </w:pPr>
      <w:r>
        <w:rPr>
          <w:lang w:val="en-US" w:eastAsia="zh-CN"/>
        </w:rPr>
        <w:t>NTN UE timing requirements have had good progress thanks to the constructive discussions in the past RAN4 meetings. In the last meeting, RAN4 received an LS [1] from RAN1 asking about a problem which is due to UE using outdated location information, a ‘double correction problem’ it is called. RAN4 replied the LS in [2] to provide RAN1 with a quick catch of the issue from RAN4 perspective. It is still pending RAN4 further discussion that how exactly the requirements are specified so that the issue is addressed completely.</w:t>
      </w:r>
    </w:p>
    <w:p w14:paraId="2CF3E2F0" w14:textId="5BAC497A" w:rsidR="00151455" w:rsidRDefault="00151455" w:rsidP="000678DD">
      <w:pPr>
        <w:rPr>
          <w:lang w:val="en-US" w:eastAsia="zh-CN"/>
        </w:rPr>
      </w:pPr>
      <w:r>
        <w:rPr>
          <w:lang w:val="en-US" w:eastAsia="zh-CN"/>
        </w:rPr>
        <w:t>RAN4 also is supposed to continue discussion on a set of requirements which guarantee the performance of the whole system timing design. A WF [3] captures the agreements from the last meeting and the remaining open issues.</w:t>
      </w:r>
    </w:p>
    <w:p w14:paraId="1D0AA22D" w14:textId="3AC015A2" w:rsidR="00891B62" w:rsidRDefault="00891B62" w:rsidP="00891B62">
      <w:pPr>
        <w:rPr>
          <w:lang w:val="en-US" w:eastAsia="zh-CN"/>
        </w:rPr>
      </w:pPr>
      <w:bookmarkStart w:id="1" w:name="OLE_LINK1"/>
      <w:bookmarkStart w:id="2" w:name="OLE_LINK2"/>
      <w:r>
        <w:rPr>
          <w:lang w:val="en-US" w:eastAsia="zh-CN"/>
        </w:rPr>
        <w:t xml:space="preserve">In this paper we analyze the </w:t>
      </w:r>
      <w:r w:rsidR="00151455">
        <w:rPr>
          <w:lang w:val="en-US" w:eastAsia="zh-CN"/>
        </w:rPr>
        <w:t xml:space="preserve">double correction problem and provide </w:t>
      </w:r>
      <w:r w:rsidR="00695018">
        <w:rPr>
          <w:lang w:val="en-US" w:eastAsia="zh-CN"/>
        </w:rPr>
        <w:t>our thoughts about how to specify the corresponding requirements so that the problem is properly addressed</w:t>
      </w:r>
      <w:r>
        <w:rPr>
          <w:lang w:val="en-US" w:eastAsia="zh-CN"/>
        </w:rPr>
        <w:t>.</w:t>
      </w:r>
      <w:r w:rsidR="00695018">
        <w:rPr>
          <w:lang w:val="en-US" w:eastAsia="zh-CN"/>
        </w:rPr>
        <w:t xml:space="preserve"> In our view, this problem is one of the symbolic and essential issues which shape the characteristics of NR NTN system timing operations.</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542EEB83" w14:textId="478A58FC" w:rsidR="00E44A56" w:rsidRDefault="00E44A56" w:rsidP="00BA46DF">
      <w:pPr>
        <w:rPr>
          <w:lang w:eastAsia="zh-CN"/>
        </w:rPr>
      </w:pPr>
      <w:r w:rsidRPr="00E44A56">
        <w:rPr>
          <w:lang w:eastAsia="zh-CN"/>
        </w:rPr>
        <w:t>As per the RAN1#104-bis-e Agreement specifying the Timing Advance applied by an NR NTN UE, it is assumed that an NTN UE always add the accumulated TA command and UE autonomous TA. However, double TA adjustment may happen when the parameters that affect open loop control (including at least common TA, ephemeris, and GNSS position) are updated</w:t>
      </w:r>
      <w:r>
        <w:rPr>
          <w:lang w:eastAsia="zh-CN"/>
        </w:rPr>
        <w:t>. In the RAN1 LS [1], the problem is identified as a ‘double correction’ problem. The detailed information in the LS and the question to RAN4 is copied in the below box.</w:t>
      </w:r>
    </w:p>
    <w:tbl>
      <w:tblPr>
        <w:tblStyle w:val="TableGrid"/>
        <w:tblW w:w="0" w:type="auto"/>
        <w:tblLook w:val="04A0" w:firstRow="1" w:lastRow="0" w:firstColumn="1" w:lastColumn="0" w:noHBand="0" w:noVBand="1"/>
      </w:tblPr>
      <w:tblGrid>
        <w:gridCol w:w="10457"/>
      </w:tblGrid>
      <w:tr w:rsidR="00E44A56" w14:paraId="3FA6368A" w14:textId="77777777" w:rsidTr="00E44A56">
        <w:tc>
          <w:tcPr>
            <w:tcW w:w="10457" w:type="dxa"/>
          </w:tcPr>
          <w:p w14:paraId="3A0DE2D5" w14:textId="77777777" w:rsidR="00E44A56" w:rsidRDefault="00E44A56" w:rsidP="00E44A56">
            <w:pPr>
              <w:spacing w:after="240"/>
              <w:rPr>
                <w:szCs w:val="21"/>
                <w:lang w:val="en-US" w:eastAsia="fr-FR"/>
              </w:rPr>
            </w:pPr>
            <w:r>
              <w:rPr>
                <w:rFonts w:ascii="Arial" w:hAnsi="Arial" w:cs="Arial"/>
                <w:szCs w:val="21"/>
                <w:lang w:val="en-US"/>
              </w:rPr>
              <w:t>As part of the WI NR-NTN-solution, under agenda item 8.4.2, RAN1 discussed the issue related to combination of open and closed loop TA control. </w:t>
            </w:r>
          </w:p>
          <w:p w14:paraId="41C3C8D1" w14:textId="77777777" w:rsidR="00E44A56" w:rsidRDefault="00E44A56" w:rsidP="00E44A56">
            <w:pPr>
              <w:spacing w:after="240"/>
              <w:rPr>
                <w:szCs w:val="21"/>
                <w:lang w:val="en-US"/>
              </w:rPr>
            </w:pPr>
            <w:r>
              <w:rPr>
                <w:rFonts w:ascii="Arial" w:hAnsi="Arial" w:cs="Arial"/>
                <w:szCs w:val="21"/>
                <w:lang w:val="en-US"/>
              </w:rPr>
              <w:t>As per the RAN1#104-bis-e Agreement specifying the Timing Advance applied by an NR NTN UE, it is assumed that an NTN UE always add the accumulated TA command and UE autonomous TA</w:t>
            </w:r>
            <w:r>
              <w:rPr>
                <w:rFonts w:ascii="Arial" w:hAnsi="Arial" w:cs="Arial"/>
                <w:b/>
                <w:bCs/>
                <w:szCs w:val="21"/>
                <w:lang w:val="en-US"/>
              </w:rPr>
              <w:t>. </w:t>
            </w:r>
            <w:r>
              <w:rPr>
                <w:rFonts w:ascii="Arial" w:hAnsi="Arial" w:cs="Arial"/>
                <w:szCs w:val="21"/>
                <w:lang w:val="en-US"/>
              </w:rPr>
              <w:t>However, double TA adjustment may happen when the parameters that affect open loop control </w:t>
            </w:r>
            <w:r>
              <w:rPr>
                <w:rFonts w:ascii="Arial" w:hAnsi="Arial" w:cs="Arial"/>
                <w:color w:val="000000"/>
                <w:szCs w:val="21"/>
                <w:shd w:val="clear" w:color="auto" w:fill="FFFFFF"/>
                <w:lang w:val="en-US"/>
              </w:rPr>
              <w:t>(including at least common TA, ephemeris, and GNSS position)</w:t>
            </w:r>
            <w:r>
              <w:rPr>
                <w:rFonts w:ascii="Arial" w:hAnsi="Arial" w:cs="Arial"/>
                <w:szCs w:val="21"/>
                <w:lang w:val="en-US"/>
              </w:rPr>
              <w:t xml:space="preserve"> are updated. </w:t>
            </w:r>
          </w:p>
          <w:p w14:paraId="0EFBBFB0" w14:textId="77777777" w:rsidR="00E44A56" w:rsidRDefault="00E44A56" w:rsidP="00E44A56">
            <w:pPr>
              <w:spacing w:after="240"/>
              <w:rPr>
                <w:rFonts w:ascii="Arial" w:hAnsi="Arial" w:cs="Arial"/>
                <w:szCs w:val="21"/>
                <w:lang w:val="en-US"/>
              </w:rPr>
            </w:pPr>
            <w:r>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w:t>
            </w:r>
            <w:proofErr w:type="gramStart"/>
            <w:r>
              <w:rPr>
                <w:rFonts w:ascii="Arial" w:hAnsi="Arial" w:cs="Arial"/>
                <w:szCs w:val="21"/>
                <w:lang w:val="en-US"/>
              </w:rPr>
              <w:t>actually corrects</w:t>
            </w:r>
            <w:proofErr w:type="gramEnd"/>
            <w:r>
              <w:rPr>
                <w:rFonts w:ascii="Arial" w:hAnsi="Arial" w:cs="Arial"/>
                <w:szCs w:val="21"/>
                <w:lang w:val="en-US"/>
              </w:rPr>
              <w:t xml:space="preserve"> this TA error one more time (since this TA error is already corrected by closed loop TA control). </w:t>
            </w:r>
          </w:p>
          <w:p w14:paraId="6AF57A88" w14:textId="77777777" w:rsidR="00E44A56" w:rsidRDefault="00E44A56" w:rsidP="00E44A56">
            <w:pPr>
              <w:rPr>
                <w:rFonts w:ascii="Arial" w:hAnsi="Arial" w:cs="Arial"/>
                <w:szCs w:val="21"/>
                <w:lang w:val="en-US"/>
              </w:rPr>
            </w:pPr>
            <w:proofErr w:type="gramStart"/>
            <w:r>
              <w:rPr>
                <w:rFonts w:ascii="Arial" w:hAnsi="Arial" w:cs="Arial"/>
                <w:szCs w:val="21"/>
                <w:lang w:val="en-US"/>
              </w:rPr>
              <w:t>In light of</w:t>
            </w:r>
            <w:proofErr w:type="gramEnd"/>
            <w:r>
              <w:rPr>
                <w:rFonts w:ascii="Arial" w:hAnsi="Arial" w:cs="Arial"/>
                <w:szCs w:val="21"/>
                <w:lang w:val="en-US"/>
              </w:rPr>
              <w:t xml:space="preserve"> the new open-loop TA control mechanism defined for NTN, RAN1 identified the following question:</w:t>
            </w:r>
          </w:p>
          <w:p w14:paraId="666AAB11" w14:textId="77777777" w:rsidR="00E44A56" w:rsidRDefault="00E44A56" w:rsidP="00E44A56">
            <w:pPr>
              <w:rPr>
                <w:rFonts w:ascii="Arial" w:hAnsi="Arial" w:cs="Arial"/>
                <w:szCs w:val="21"/>
                <w:lang w:val="en-US"/>
              </w:rPr>
            </w:pPr>
          </w:p>
          <w:p w14:paraId="2531882A" w14:textId="77777777" w:rsidR="00E44A56" w:rsidRDefault="00E44A56" w:rsidP="00E44A56">
            <w:pPr>
              <w:rPr>
                <w:rFonts w:ascii="Arial" w:hAnsi="Arial" w:cs="Arial"/>
                <w:szCs w:val="21"/>
                <w:lang w:val="en-US"/>
              </w:rPr>
            </w:pPr>
            <w:r>
              <w:rPr>
                <w:rFonts w:ascii="Arial" w:hAnsi="Arial" w:cs="Arial"/>
                <w:szCs w:val="21"/>
                <w:lang w:val="en-US"/>
              </w:rPr>
              <w:t xml:space="preserve">Question 1: Considering the new open-loop TA control for NTN, will the requirement </w:t>
            </w:r>
            <w:proofErr w:type="gramStart"/>
            <w:r>
              <w:rPr>
                <w:rFonts w:ascii="Arial" w:hAnsi="Arial" w:cs="Arial"/>
                <w:szCs w:val="21"/>
                <w:lang w:val="en-US"/>
              </w:rPr>
              <w:t>of  gradual</w:t>
            </w:r>
            <w:proofErr w:type="gramEnd"/>
            <w:r>
              <w:rPr>
                <w:rFonts w:ascii="Arial" w:hAnsi="Arial" w:cs="Arial"/>
                <w:szCs w:val="21"/>
                <w:lang w:val="en-US"/>
              </w:rPr>
              <w:t xml:space="preserve"> timing adjustment as defined in R4-2115347 apply and, if applies, what’s the reference timing in the requirement?</w:t>
            </w:r>
          </w:p>
          <w:p w14:paraId="5D206A98" w14:textId="77777777" w:rsidR="00E44A56" w:rsidRPr="00E44A56" w:rsidRDefault="00E44A56" w:rsidP="00BA46DF">
            <w:pPr>
              <w:rPr>
                <w:lang w:val="en-US" w:eastAsia="zh-CN"/>
              </w:rPr>
            </w:pPr>
          </w:p>
        </w:tc>
      </w:tr>
    </w:tbl>
    <w:p w14:paraId="033EEDED" w14:textId="28283313" w:rsidR="00F251CE" w:rsidRDefault="00F251CE" w:rsidP="00BA46DF">
      <w:pPr>
        <w:rPr>
          <w:lang w:eastAsia="zh-CN"/>
        </w:rPr>
      </w:pPr>
      <w:r>
        <w:rPr>
          <w:lang w:eastAsia="zh-CN"/>
        </w:rPr>
        <w:t xml:space="preserve">In the RAN4 reply LS, two options are provided initially to RAN1: </w:t>
      </w:r>
    </w:p>
    <w:tbl>
      <w:tblPr>
        <w:tblStyle w:val="TableGrid"/>
        <w:tblW w:w="0" w:type="auto"/>
        <w:tblLook w:val="04A0" w:firstRow="1" w:lastRow="0" w:firstColumn="1" w:lastColumn="0" w:noHBand="0" w:noVBand="1"/>
      </w:tblPr>
      <w:tblGrid>
        <w:gridCol w:w="10457"/>
      </w:tblGrid>
      <w:tr w:rsidR="00F251CE" w14:paraId="05A1511F" w14:textId="77777777" w:rsidTr="00F251CE">
        <w:tc>
          <w:tcPr>
            <w:tcW w:w="10457" w:type="dxa"/>
          </w:tcPr>
          <w:p w14:paraId="4A1937BF" w14:textId="77777777" w:rsidR="00F251CE" w:rsidRDefault="00F251CE" w:rsidP="00F251CE">
            <w:pPr>
              <w:pStyle w:val="TAL"/>
              <w:rPr>
                <w:rFonts w:eastAsia="PMingLiU" w:cs="Arial"/>
                <w:sz w:val="20"/>
                <w:lang w:eastAsia="zh-CN"/>
              </w:rPr>
            </w:pPr>
            <w:r>
              <w:rPr>
                <w:rFonts w:eastAsia="PMingLiU" w:cs="Arial"/>
                <w:sz w:val="20"/>
              </w:rPr>
              <w:lastRenderedPageBreak/>
              <w:t>RAN4 has reached an agreement that RAN4 defines a requirement to ensure the impact on NTN UE UL timing accuracy due to “double-correction” issue is properly addressed. There are the following two alternatives for further discussion.</w:t>
            </w:r>
          </w:p>
          <w:p w14:paraId="447C7427" w14:textId="77777777" w:rsidR="00F251CE" w:rsidRDefault="00F251CE" w:rsidP="00F251CE">
            <w:pPr>
              <w:pStyle w:val="TAL"/>
              <w:rPr>
                <w:rFonts w:eastAsia="PMingLiU" w:cs="Arial"/>
                <w:sz w:val="20"/>
              </w:rPr>
            </w:pPr>
          </w:p>
          <w:p w14:paraId="7580C6DE" w14:textId="77777777" w:rsidR="00F251CE" w:rsidRDefault="00F251CE" w:rsidP="00F251CE">
            <w:pPr>
              <w:pStyle w:val="ListParagraph"/>
              <w:numPr>
                <w:ilvl w:val="0"/>
                <w:numId w:val="48"/>
              </w:numPr>
              <w:ind w:firstLineChars="0"/>
              <w:contextualSpacing/>
              <w:rPr>
                <w:rFonts w:ascii="Arial" w:eastAsia="Times New Roman" w:hAnsi="Arial" w:cs="Arial"/>
                <w:sz w:val="20"/>
                <w:szCs w:val="20"/>
              </w:rPr>
            </w:pPr>
            <w:r>
              <w:rPr>
                <w:rFonts w:ascii="Arial" w:eastAsia="Times New Roman" w:hAnsi="Arial" w:cs="Arial"/>
                <w:sz w:val="20"/>
                <w:szCs w:val="20"/>
              </w:rPr>
              <w:t>Option 1:</w:t>
            </w:r>
          </w:p>
          <w:p w14:paraId="685A3685"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 xml:space="preserve">RAN4 to replace gradual timing adjustment requirement with NTN UE initial timing accuracy requirement, </w:t>
            </w:r>
            <w:proofErr w:type="gramStart"/>
            <w:r>
              <w:rPr>
                <w:rFonts w:ascii="Arial" w:eastAsia="Times New Roman" w:hAnsi="Arial" w:cs="Arial"/>
                <w:sz w:val="20"/>
                <w:szCs w:val="20"/>
              </w:rPr>
              <w:t>i.e.</w:t>
            </w:r>
            <w:proofErr w:type="gramEnd"/>
            <w:r>
              <w:rPr>
                <w:rFonts w:ascii="Arial" w:eastAsia="Times New Roman" w:hAnsi="Arial" w:cs="Arial"/>
                <w:sz w:val="20"/>
                <w:szCs w:val="20"/>
              </w:rPr>
              <w:t xml:space="preserve"> NTN UE initial timing accuracy requirement applies to all UL transmissions.</w:t>
            </w:r>
          </w:p>
          <w:p w14:paraId="67EA8087" w14:textId="77777777" w:rsidR="00F251CE" w:rsidRDefault="00F251CE" w:rsidP="00F251CE">
            <w:pPr>
              <w:pStyle w:val="ListParagraph"/>
              <w:numPr>
                <w:ilvl w:val="0"/>
                <w:numId w:val="48"/>
              </w:numPr>
              <w:ind w:firstLineChars="0"/>
              <w:contextualSpacing/>
              <w:rPr>
                <w:rFonts w:ascii="Arial" w:eastAsia="Times New Roman" w:hAnsi="Arial" w:cs="Arial"/>
                <w:sz w:val="20"/>
                <w:szCs w:val="20"/>
              </w:rPr>
            </w:pPr>
            <w:r>
              <w:rPr>
                <w:rFonts w:ascii="Arial" w:eastAsia="Times New Roman" w:hAnsi="Arial" w:cs="Arial"/>
                <w:sz w:val="20"/>
                <w:szCs w:val="20"/>
              </w:rPr>
              <w:t>Option 2:</w:t>
            </w:r>
          </w:p>
          <w:p w14:paraId="2A51B0AF"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 xml:space="preserve">RAN4 to define a requirement based on the framework of gradual timing adjustment accuracy requirement, </w:t>
            </w:r>
            <w:proofErr w:type="gramStart"/>
            <w:r>
              <w:rPr>
                <w:rFonts w:ascii="Arial" w:eastAsia="Times New Roman" w:hAnsi="Arial" w:cs="Arial"/>
                <w:sz w:val="20"/>
                <w:szCs w:val="20"/>
              </w:rPr>
              <w:t>e.g.</w:t>
            </w:r>
            <w:proofErr w:type="gramEnd"/>
            <w:r>
              <w:rPr>
                <w:rFonts w:ascii="Arial" w:eastAsia="Times New Roman" w:hAnsi="Arial" w:cs="Arial"/>
                <w:sz w:val="20"/>
                <w:szCs w:val="20"/>
              </w:rPr>
              <w:t xml:space="preserve"> the requirement regulates the maximum amount of UE specific TA change of shot adjustment due to UE position change, the minimum and maximum aggregate adjustment rates.</w:t>
            </w:r>
          </w:p>
          <w:p w14:paraId="1AF3E3CC"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FFS on whether the requirement regulating “double-correction” issue would be a stand-alone requirement</w:t>
            </w:r>
          </w:p>
          <w:p w14:paraId="1976C1C2"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FFS on whether and how to incorporate the current gradual timing adjustment defined in 7.1.2.1 of TS38.133</w:t>
            </w:r>
          </w:p>
          <w:p w14:paraId="7BF3EF3D"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FFS on whether and how to incorporate UE specific change due to satellite position change and feeder link delay change</w:t>
            </w:r>
          </w:p>
          <w:p w14:paraId="582DE71A" w14:textId="77777777" w:rsidR="00F251CE" w:rsidRDefault="00F251CE" w:rsidP="00F251CE">
            <w:pPr>
              <w:pStyle w:val="ListParagraph"/>
              <w:numPr>
                <w:ilvl w:val="1"/>
                <w:numId w:val="48"/>
              </w:numPr>
              <w:ind w:firstLineChars="0"/>
              <w:contextualSpacing/>
              <w:rPr>
                <w:rFonts w:ascii="Arial" w:eastAsia="Times New Roman" w:hAnsi="Arial" w:cs="Arial"/>
                <w:sz w:val="20"/>
                <w:szCs w:val="20"/>
              </w:rPr>
            </w:pPr>
            <w:r>
              <w:rPr>
                <w:rFonts w:ascii="Arial" w:eastAsia="Times New Roman" w:hAnsi="Arial" w:cs="Arial"/>
                <w:sz w:val="20"/>
                <w:szCs w:val="20"/>
              </w:rPr>
              <w:t>FFS on the detailed requirement values and the definition of reference time in terms of UL timing error measurement</w:t>
            </w:r>
          </w:p>
          <w:p w14:paraId="475AE8C9" w14:textId="77777777" w:rsidR="00F251CE" w:rsidRPr="00F251CE" w:rsidRDefault="00F251CE" w:rsidP="00BA46DF">
            <w:pPr>
              <w:rPr>
                <w:lang w:val="en-US" w:eastAsia="zh-CN"/>
              </w:rPr>
            </w:pPr>
          </w:p>
        </w:tc>
      </w:tr>
    </w:tbl>
    <w:p w14:paraId="218486ED" w14:textId="55A76F38" w:rsidR="00E44A56" w:rsidRDefault="00E44A56" w:rsidP="00BA46DF">
      <w:pPr>
        <w:rPr>
          <w:lang w:eastAsia="zh-CN"/>
        </w:rPr>
      </w:pPr>
      <w:r>
        <w:rPr>
          <w:lang w:eastAsia="zh-CN"/>
        </w:rPr>
        <w:t xml:space="preserve">It is observed that a UE may use old open loop TA control parameters which leads to TA error. The key observation here is that when the mobility is </w:t>
      </w:r>
      <w:r w:rsidR="00F251CE">
        <w:rPr>
          <w:lang w:eastAsia="zh-CN"/>
        </w:rPr>
        <w:t>rather high for the satellite/UE, outdated information of the service link leads to outdated UE specific TA estimation. To address this problem, we need to firstly guarantee that the UE is always following the DL timing and updates UE specific TA</w:t>
      </w:r>
      <w:r w:rsidR="008F1F44">
        <w:rPr>
          <w:lang w:eastAsia="zh-CN"/>
        </w:rPr>
        <w:t>,</w:t>
      </w:r>
      <w:r w:rsidR="00F251CE">
        <w:rPr>
          <w:lang w:eastAsia="zh-CN"/>
        </w:rPr>
        <w:t xml:space="preserve"> both with a reasonable frequency to guarantee the performance of the systematic timing operations. This aligns perfectly with our view in the </w:t>
      </w:r>
      <w:r w:rsidR="008F1F44">
        <w:rPr>
          <w:lang w:eastAsia="zh-CN"/>
        </w:rPr>
        <w:t>past</w:t>
      </w:r>
      <w:r w:rsidR="00F251CE">
        <w:rPr>
          <w:lang w:eastAsia="zh-CN"/>
        </w:rPr>
        <w:t xml:space="preserve"> meeting</w:t>
      </w:r>
      <w:r w:rsidR="008F1F44">
        <w:rPr>
          <w:lang w:eastAsia="zh-CN"/>
        </w:rPr>
        <w:t>s</w:t>
      </w:r>
      <w:r w:rsidR="00F251CE">
        <w:rPr>
          <w:lang w:eastAsia="zh-CN"/>
        </w:rPr>
        <w:t xml:space="preserve"> that </w:t>
      </w:r>
      <w:r w:rsidR="00354E3A">
        <w:rPr>
          <w:lang w:eastAsia="zh-CN"/>
        </w:rPr>
        <w:t xml:space="preserve">though we may not need to specify how frequently the UE needs to perform the update, we need to at least capture in the spec that the </w:t>
      </w:r>
      <w:r w:rsidR="00354E3A" w:rsidRPr="00354E3A">
        <w:rPr>
          <w:lang w:eastAsia="zh-CN"/>
        </w:rPr>
        <w:t>UE shall have capability to follow the frame timing change of the reference cell and to correctly estimate and update the UE specific TA value</w:t>
      </w:r>
      <w:r w:rsidR="00354E3A">
        <w:rPr>
          <w:lang w:eastAsia="zh-CN"/>
        </w:rPr>
        <w:t>.</w:t>
      </w:r>
    </w:p>
    <w:p w14:paraId="171D67DC" w14:textId="1FA59899" w:rsidR="00354E3A" w:rsidRPr="00354E3A" w:rsidRDefault="00354E3A" w:rsidP="00BA46DF">
      <w:pPr>
        <w:rPr>
          <w:b/>
          <w:bCs/>
          <w:lang w:eastAsia="zh-CN"/>
        </w:rPr>
      </w:pPr>
      <w:r w:rsidRPr="00354E3A">
        <w:rPr>
          <w:b/>
          <w:bCs/>
          <w:lang w:eastAsia="zh-CN"/>
        </w:rPr>
        <w:t>Proposal 1: 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72CF72F0" w14:textId="020EA17F" w:rsidR="00B85811" w:rsidRDefault="00354E3A" w:rsidP="00BA46DF">
      <w:pPr>
        <w:rPr>
          <w:lang w:eastAsia="zh-CN"/>
        </w:rPr>
      </w:pPr>
      <w:r>
        <w:rPr>
          <w:lang w:eastAsia="zh-CN"/>
        </w:rPr>
        <w:t xml:space="preserve">In our understanding the reason not to have the specified UE behaviour on UE specific TA estimation is to allow different UE implementation and this reason is exactly also applied to why not to go with option 1 in the reply LS. </w:t>
      </w:r>
      <w:r w:rsidR="00B85811">
        <w:rPr>
          <w:lang w:eastAsia="zh-CN"/>
        </w:rPr>
        <w:t xml:space="preserve">In addition, </w:t>
      </w:r>
      <w:r w:rsidR="00055633">
        <w:rPr>
          <w:lang w:eastAsia="zh-CN"/>
        </w:rPr>
        <w:t>originally,</w:t>
      </w:r>
      <w:r w:rsidR="00B85811">
        <w:rPr>
          <w:lang w:eastAsia="zh-CN"/>
        </w:rPr>
        <w:t xml:space="preserve"> we have the description in the spec to also regulate for the other transmissions than the initial ones in TS 38.133 clause 7.1.2:</w:t>
      </w:r>
    </w:p>
    <w:p w14:paraId="5B4A8B12" w14:textId="51EBEDE2" w:rsidR="00E44A56" w:rsidRPr="00B85811" w:rsidRDefault="00B85811" w:rsidP="00BA46DF">
      <w:pPr>
        <w:rPr>
          <w:i/>
          <w:iCs/>
          <w:lang w:eastAsia="zh-CN"/>
        </w:rPr>
      </w:pPr>
      <w:r w:rsidRPr="00B85811">
        <w:rPr>
          <w:rFonts w:ascii="TimesNewRomanPSMT" w:hAnsi="TimesNewRomanPSMT" w:cs="TimesNewRomanPSMT"/>
          <w:i/>
          <w:iCs/>
          <w:color w:val="000000"/>
        </w:rPr>
        <w:t>When it is not the first transmission in a DRX cycle or there is no DRX cycle, and when it is the transmission for</w:t>
      </w:r>
      <w:r w:rsidRPr="00B85811">
        <w:rPr>
          <w:rFonts w:ascii="TimesNewRomanPSMT" w:hAnsi="TimesNewRomanPSMT" w:cs="TimesNewRomanPSMT"/>
          <w:i/>
          <w:iCs/>
          <w:color w:val="000000"/>
        </w:rPr>
        <w:br/>
        <w:t>PUCCH, PUSCH and SRS transmission, the UE shall be capable of changing the transmission timing according to the</w:t>
      </w:r>
      <w:r w:rsidRPr="00B85811">
        <w:rPr>
          <w:rFonts w:ascii="TimesNewRomanPSMT" w:hAnsi="TimesNewRomanPSMT" w:cs="TimesNewRomanPSMT"/>
          <w:i/>
          <w:iCs/>
          <w:color w:val="000000"/>
        </w:rPr>
        <w:br/>
        <w:t>received downlink frame of the reference cell except when the timing advance in clause 7.3 is applied.</w:t>
      </w:r>
    </w:p>
    <w:p w14:paraId="1ED1C620" w14:textId="1DCC191D" w:rsidR="00354E3A" w:rsidRDefault="00055633" w:rsidP="00BA46DF">
      <w:pPr>
        <w:rPr>
          <w:lang w:eastAsia="zh-CN"/>
        </w:rPr>
      </w:pPr>
      <w:r>
        <w:rPr>
          <w:lang w:eastAsia="zh-CN"/>
        </w:rPr>
        <w:t xml:space="preserve">The reason we had not specify the exact allowed error for each of the above-mentioned UL transmission is according to the idea that </w:t>
      </w:r>
      <w:proofErr w:type="gramStart"/>
      <w:r>
        <w:rPr>
          <w:lang w:eastAsia="zh-CN"/>
        </w:rPr>
        <w:t>as long as</w:t>
      </w:r>
      <w:proofErr w:type="gramEnd"/>
      <w:r>
        <w:rPr>
          <w:lang w:eastAsia="zh-CN"/>
        </w:rPr>
        <w:t xml:space="preserve"> the UE meets </w:t>
      </w:r>
      <w:r w:rsidR="008F1F44">
        <w:rPr>
          <w:lang w:eastAsia="zh-CN"/>
        </w:rPr>
        <w:t>all the</w:t>
      </w:r>
      <w:r>
        <w:rPr>
          <w:lang w:eastAsia="zh-CN"/>
        </w:rPr>
        <w:t xml:space="preserve"> other timing requirements, we are obliged to not going into the detailed implementation. This aligns well also with our proposal 1.</w:t>
      </w:r>
    </w:p>
    <w:p w14:paraId="586FAA5A" w14:textId="30E47FF6" w:rsidR="00354E3A" w:rsidRDefault="00354E3A" w:rsidP="00BA46DF">
      <w:pPr>
        <w:rPr>
          <w:lang w:eastAsia="zh-CN"/>
        </w:rPr>
      </w:pPr>
      <w:r>
        <w:rPr>
          <w:lang w:eastAsia="zh-CN"/>
        </w:rPr>
        <w:t>To further throw light upon the ‘double correction issue’, we present the below illustration of the UE TA application</w:t>
      </w:r>
      <w:r w:rsidR="00004C6F">
        <w:rPr>
          <w:lang w:eastAsia="zh-CN"/>
        </w:rPr>
        <w:t xml:space="preserve"> for NTN system.</w:t>
      </w:r>
    </w:p>
    <w:p w14:paraId="0AF70999" w14:textId="77777777" w:rsidR="00004C6F" w:rsidRDefault="00004C6F" w:rsidP="00BA46DF">
      <w:pPr>
        <w:sectPr w:rsidR="00004C6F" w:rsidSect="00A86B7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850" w:footer="340" w:gutter="0"/>
          <w:cols w:space="720"/>
          <w:formProt w:val="0"/>
          <w:docGrid w:linePitch="272"/>
        </w:sectPr>
      </w:pPr>
    </w:p>
    <w:p w14:paraId="08CCF317" w14:textId="0992A43F" w:rsidR="00004C6F" w:rsidRDefault="007771FC" w:rsidP="00004C6F">
      <w:pPr>
        <w:keepNext/>
        <w:jc w:val="center"/>
      </w:pPr>
      <w:r>
        <w:object w:dxaOrig="11953" w:dyaOrig="4416" w14:anchorId="0732CB44">
          <v:shape id="_x0000_i1028" type="#_x0000_t75" style="width:753.5pt;height:278pt" o:ole="">
            <v:imagedata r:id="rId14" o:title=""/>
          </v:shape>
          <o:OLEObject Type="Embed" ProgID="Visio.Drawing.15" ShapeID="_x0000_i1028" DrawAspect="Content" ObjectID="_1703350863" r:id="rId15"/>
        </w:object>
      </w:r>
    </w:p>
    <w:p w14:paraId="747C0AE3" w14:textId="5B93147D" w:rsidR="00004C6F" w:rsidRDefault="00004C6F" w:rsidP="00004C6F">
      <w:pPr>
        <w:pStyle w:val="Caption"/>
        <w:jc w:val="center"/>
        <w:rPr>
          <w:lang w:eastAsia="zh-CN"/>
        </w:rPr>
      </w:pPr>
      <w:r>
        <w:t xml:space="preserve">Figure </w:t>
      </w:r>
      <w:fldSimple w:instr=" SEQ Figure \* ARABIC ">
        <w:r>
          <w:rPr>
            <w:noProof/>
          </w:rPr>
          <w:t>1</w:t>
        </w:r>
      </w:fldSimple>
      <w:r>
        <w:t xml:space="preserve"> UE TA application for NTN system</w:t>
      </w:r>
    </w:p>
    <w:p w14:paraId="3B30AB50" w14:textId="77777777" w:rsidR="00004C6F" w:rsidRDefault="00004C6F" w:rsidP="00BA46DF">
      <w:pPr>
        <w:rPr>
          <w:lang w:eastAsia="zh-CN"/>
        </w:rPr>
        <w:sectPr w:rsidR="00004C6F" w:rsidSect="00004C6F">
          <w:footnotePr>
            <w:numRestart w:val="eachSect"/>
          </w:footnotePr>
          <w:pgSz w:w="16840" w:h="11907" w:orient="landscape" w:code="9"/>
          <w:pgMar w:top="720" w:right="720" w:bottom="720" w:left="720" w:header="850" w:footer="346" w:gutter="0"/>
          <w:cols w:space="720"/>
          <w:formProt w:val="0"/>
          <w:docGrid w:linePitch="272"/>
        </w:sectPr>
      </w:pPr>
    </w:p>
    <w:p w14:paraId="733CEF97" w14:textId="39EC3A6A" w:rsidR="00004C6F" w:rsidRDefault="00055633" w:rsidP="00BA46DF">
      <w:pPr>
        <w:rPr>
          <w:lang w:eastAsia="zh-CN"/>
        </w:rPr>
      </w:pPr>
      <w:r>
        <w:rPr>
          <w:lang w:eastAsia="zh-CN"/>
        </w:rPr>
        <w:lastRenderedPageBreak/>
        <w:t>To explain a little bit on the above illustration, we add a few insights for group discussion:</w:t>
      </w:r>
    </w:p>
    <w:p w14:paraId="76F8E0BA" w14:textId="158F608C" w:rsidR="00055633" w:rsidRPr="00E728C8" w:rsidRDefault="00055633" w:rsidP="00E728C8">
      <w:pPr>
        <w:pStyle w:val="ListParagraph"/>
        <w:numPr>
          <w:ilvl w:val="0"/>
          <w:numId w:val="49"/>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 xml:space="preserve">The propagation change of the feeder link is handled by the network and it should be reflected in ‘network configured TA change’ including </w:t>
      </w:r>
      <w:proofErr w:type="spellStart"/>
      <w:r w:rsidRPr="00E728C8">
        <w:rPr>
          <w:rFonts w:ascii="Times New Roman" w:hAnsi="Times New Roman" w:cs="Times New Roman"/>
          <w:sz w:val="20"/>
          <w:szCs w:val="20"/>
        </w:rPr>
        <w:t>k_mac</w:t>
      </w:r>
      <w:proofErr w:type="spellEnd"/>
      <w:r w:rsidRPr="00E728C8">
        <w:rPr>
          <w:rFonts w:ascii="Times New Roman" w:hAnsi="Times New Roman" w:cs="Times New Roman"/>
          <w:sz w:val="20"/>
          <w:szCs w:val="20"/>
        </w:rPr>
        <w:t>, so we assume</w:t>
      </w:r>
      <w:r w:rsidR="00926FFD">
        <w:rPr>
          <w:rFonts w:ascii="Times New Roman" w:hAnsi="Times New Roman" w:cs="Times New Roman"/>
          <w:sz w:val="20"/>
          <w:szCs w:val="20"/>
        </w:rPr>
        <w:t>d</w:t>
      </w:r>
      <w:r w:rsidRPr="00E728C8">
        <w:rPr>
          <w:rFonts w:ascii="Times New Roman" w:hAnsi="Times New Roman" w:cs="Times New Roman"/>
          <w:sz w:val="20"/>
          <w:szCs w:val="20"/>
        </w:rPr>
        <w:t xml:space="preserve"> no change in </w:t>
      </w:r>
      <w:r w:rsidR="00926FFD">
        <w:rPr>
          <w:rFonts w:ascii="Times New Roman" w:hAnsi="Times New Roman" w:cs="Times New Roman"/>
          <w:sz w:val="20"/>
          <w:szCs w:val="20"/>
        </w:rPr>
        <w:t>propagation of feeder link</w:t>
      </w:r>
    </w:p>
    <w:p w14:paraId="4D111952" w14:textId="4B3967C8" w:rsidR="00055633" w:rsidRPr="00E728C8" w:rsidRDefault="00055633" w:rsidP="00E728C8">
      <w:pPr>
        <w:pStyle w:val="ListParagraph"/>
        <w:numPr>
          <w:ilvl w:val="0"/>
          <w:numId w:val="49"/>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At T2, the UE should have applied the orange volume instead of the outdated yellow one, had it updated the location information</w:t>
      </w:r>
      <w:r w:rsidR="00926FFD">
        <w:rPr>
          <w:rFonts w:ascii="Times New Roman" w:hAnsi="Times New Roman" w:cs="Times New Roman"/>
          <w:sz w:val="20"/>
          <w:szCs w:val="20"/>
        </w:rPr>
        <w:t xml:space="preserve"> correctly</w:t>
      </w:r>
    </w:p>
    <w:p w14:paraId="2523BDF2" w14:textId="22487C63" w:rsidR="00B85811" w:rsidRPr="00E728C8" w:rsidRDefault="00055633" w:rsidP="00BA46DF">
      <w:pPr>
        <w:pStyle w:val="ListParagraph"/>
        <w:numPr>
          <w:ilvl w:val="0"/>
          <w:numId w:val="49"/>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At T1, if we assume correct UE estimation and correct network configuration, UE TA application error is the only cause</w:t>
      </w:r>
      <w:r w:rsidR="00E728C8" w:rsidRPr="00E728C8">
        <w:rPr>
          <w:rFonts w:ascii="Times New Roman" w:hAnsi="Times New Roman" w:cs="Times New Roman"/>
          <w:sz w:val="20"/>
          <w:szCs w:val="20"/>
        </w:rPr>
        <w:t xml:space="preserve"> to uplink timing error at BS receiver</w:t>
      </w:r>
    </w:p>
    <w:p w14:paraId="52E802CE" w14:textId="5F559237" w:rsidR="00B85811" w:rsidRDefault="00E728C8" w:rsidP="00BA46DF">
      <w:pPr>
        <w:rPr>
          <w:lang w:eastAsia="zh-CN"/>
        </w:rPr>
      </w:pPr>
      <w:r>
        <w:rPr>
          <w:lang w:eastAsia="zh-CN"/>
        </w:rPr>
        <w:t xml:space="preserve">In the legacy spec, in addition to the mentioned </w:t>
      </w:r>
      <w:r w:rsidR="008C24E6">
        <w:rPr>
          <w:lang w:eastAsia="zh-CN"/>
        </w:rPr>
        <w:t xml:space="preserve">descriptions, </w:t>
      </w:r>
      <w:r>
        <w:rPr>
          <w:lang w:eastAsia="zh-CN"/>
        </w:rPr>
        <w:t xml:space="preserve">gradual timing adjustment requirements </w:t>
      </w:r>
      <w:r w:rsidR="008C24E6">
        <w:rPr>
          <w:lang w:eastAsia="zh-CN"/>
        </w:rPr>
        <w:t xml:space="preserve">also </w:t>
      </w:r>
      <w:r>
        <w:rPr>
          <w:lang w:eastAsia="zh-CN"/>
        </w:rPr>
        <w:t>guarantee the non-initial UL transmissions</w:t>
      </w:r>
      <w:r w:rsidR="008C24E6">
        <w:rPr>
          <w:lang w:eastAsia="zh-CN"/>
        </w:rPr>
        <w:t xml:space="preserve"> in general. Thus</w:t>
      </w:r>
      <w:r w:rsidR="007771FC">
        <w:rPr>
          <w:lang w:eastAsia="zh-CN"/>
        </w:rPr>
        <w:t>,</w:t>
      </w:r>
      <w:r w:rsidR="008C24E6">
        <w:rPr>
          <w:lang w:eastAsia="zh-CN"/>
        </w:rPr>
        <w:t xml:space="preserve"> specifying gradual timing adjustment requirements for UE specific TA estimation and update is crucial. We support option 2 in the reply LS from RAN4 in the last meeting.</w:t>
      </w:r>
    </w:p>
    <w:p w14:paraId="65230BE2" w14:textId="7B794BDC" w:rsidR="00A01588" w:rsidRDefault="00A01588" w:rsidP="008A2AEE">
      <w:pPr>
        <w:rPr>
          <w:lang w:val="en-US" w:eastAsia="zh-CN"/>
        </w:rPr>
      </w:pPr>
      <w:r>
        <w:rPr>
          <w:lang w:val="en-US" w:eastAsia="zh-CN"/>
        </w:rPr>
        <w:t>For a R</w:t>
      </w:r>
      <w:r w:rsidR="00C972C5">
        <w:rPr>
          <w:lang w:val="en-US" w:eastAsia="zh-CN"/>
        </w:rPr>
        <w:t>el-</w:t>
      </w:r>
      <w:r>
        <w:rPr>
          <w:lang w:val="en-US" w:eastAsia="zh-CN"/>
        </w:rPr>
        <w:t>15 UE,</w:t>
      </w:r>
      <w:r w:rsidR="00C972C5">
        <w:rPr>
          <w:lang w:val="en-US" w:eastAsia="zh-CN"/>
        </w:rPr>
        <w:t xml:space="preserve"> in addition to </w:t>
      </w:r>
      <w:proofErr w:type="spellStart"/>
      <w:r w:rsidR="00C972C5">
        <w:rPr>
          <w:lang w:val="en-US" w:eastAsia="zh-CN"/>
        </w:rPr>
        <w:t>Te</w:t>
      </w:r>
      <w:proofErr w:type="spellEnd"/>
      <w:r w:rsidR="00C972C5">
        <w:rPr>
          <w:lang w:val="en-US" w:eastAsia="zh-CN"/>
        </w:rPr>
        <w:t xml:space="preserve"> requirements,</w:t>
      </w:r>
      <w:r>
        <w:rPr>
          <w:lang w:val="en-US" w:eastAsia="zh-CN"/>
        </w:rPr>
        <w:t xml:space="preserv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669F6CBE" w14:textId="77777777" w:rsidR="00A01588" w:rsidRDefault="00A01588" w:rsidP="00A01588">
            <w:pPr>
              <w:pStyle w:val="B10"/>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06130941" w14:textId="4F53C315" w:rsidR="00A01588" w:rsidRPr="00A01588" w:rsidRDefault="00A01588" w:rsidP="00A01588">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w:t>
            </w:r>
          </w:p>
        </w:tc>
      </w:tr>
    </w:tbl>
    <w:p w14:paraId="582066F5" w14:textId="77602B22" w:rsidR="00A01588" w:rsidRDefault="00A01588" w:rsidP="008A2AEE">
      <w:pPr>
        <w:rPr>
          <w:lang w:val="en-US" w:eastAsia="zh-CN"/>
        </w:rPr>
      </w:pPr>
      <w:r>
        <w:rPr>
          <w:lang w:val="en-US" w:eastAsia="zh-CN"/>
        </w:rPr>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w:t>
      </w:r>
      <w:r w:rsidR="00FC71E9">
        <w:rPr>
          <w:lang w:val="en-US" w:eastAsia="zh-CN"/>
        </w:rPr>
        <w:t xml:space="preserve">The minimum aggregate adjustment rate requires the UE to at least adjust its timing with </w:t>
      </w:r>
      <w:proofErr w:type="spellStart"/>
      <w:r w:rsidR="00FC71E9">
        <w:rPr>
          <w:lang w:val="en-US" w:eastAsia="zh-CN"/>
        </w:rPr>
        <w:t>Tp</w:t>
      </w:r>
      <w:proofErr w:type="spellEnd"/>
      <w:r w:rsidR="00FC71E9">
        <w:rPr>
          <w:lang w:val="en-US" w:eastAsia="zh-CN"/>
        </w:rPr>
        <w:t xml:space="preserve"> in every second and the maximum aggregate adjustment rate requires the UE to at most adjust its timing with </w:t>
      </w:r>
      <w:proofErr w:type="spellStart"/>
      <w:r w:rsidR="00FC71E9">
        <w:rPr>
          <w:lang w:val="en-US" w:eastAsia="zh-CN"/>
        </w:rPr>
        <w:t>Tq</w:t>
      </w:r>
      <w:proofErr w:type="spellEnd"/>
      <w:r w:rsidR="00FC71E9">
        <w:rPr>
          <w:lang w:val="en-US" w:eastAsia="zh-CN"/>
        </w:rPr>
        <w:t xml:space="preserve"> in every 200ms.</w:t>
      </w:r>
    </w:p>
    <w:p w14:paraId="626118BF" w14:textId="28354229"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p>
    <w:p w14:paraId="543FB8E8" w14:textId="5FED03F6" w:rsidR="008C24E6" w:rsidRDefault="008C24E6" w:rsidP="008C24E6">
      <w:pPr>
        <w:rPr>
          <w:b/>
          <w:bCs/>
          <w:lang w:eastAsia="zh-CN"/>
        </w:rPr>
      </w:pPr>
      <w:r w:rsidRPr="008C24E6">
        <w:rPr>
          <w:b/>
          <w:bCs/>
          <w:lang w:eastAsia="zh-CN"/>
        </w:rPr>
        <w:t xml:space="preserve">Proposal 2: RAN4 is to define a requirement based on the framework of gradual timing adjustment accuracy requirement, </w:t>
      </w:r>
      <w:proofErr w:type="gramStart"/>
      <w:r w:rsidRPr="008C24E6">
        <w:rPr>
          <w:b/>
          <w:bCs/>
          <w:lang w:eastAsia="zh-CN"/>
        </w:rPr>
        <w:t>e.g.</w:t>
      </w:r>
      <w:proofErr w:type="gramEnd"/>
      <w:r w:rsidRPr="008C24E6">
        <w:rPr>
          <w:b/>
          <w:bCs/>
          <w:lang w:eastAsia="zh-CN"/>
        </w:rPr>
        <w:t xml:space="preserve"> the requirement regulates the maximum amount of UE specific TA change of shot adjustment due to UE position change, the minimum and maximum aggregate adjustment rates.</w:t>
      </w:r>
    </w:p>
    <w:p w14:paraId="48D961E6" w14:textId="1EA432D4" w:rsidR="00314112" w:rsidRDefault="00314112" w:rsidP="00314112">
      <w:pPr>
        <w:rPr>
          <w:b/>
          <w:lang w:val="en-US" w:eastAsia="zh-CN"/>
        </w:rPr>
      </w:pPr>
      <w:r>
        <w:rPr>
          <w:b/>
          <w:lang w:val="en-US" w:eastAsia="zh-CN"/>
        </w:rPr>
        <w:t>Proposal 3</w:t>
      </w:r>
      <w:r w:rsidRPr="00245D5E">
        <w:rPr>
          <w:b/>
          <w:lang w:val="en-US" w:eastAsia="zh-CN"/>
        </w:rPr>
        <w:t xml:space="preserve">:  </w:t>
      </w:r>
      <w:r>
        <w:rPr>
          <w:b/>
          <w:lang w:val="en-US" w:eastAsia="zh-CN"/>
        </w:rPr>
        <w:t>Specify a set of stand-alone requirements where an NTN UE is required to adjust its UL timing towards updated UE specific TA gradually, according to minimum and maximum aggregate adjustment rate requirements.</w:t>
      </w:r>
    </w:p>
    <w:p w14:paraId="024885E4" w14:textId="77777777" w:rsidR="00B9097E" w:rsidRDefault="00101F32" w:rsidP="00B9097E">
      <w:pPr>
        <w:pStyle w:val="Heading1"/>
        <w:rPr>
          <w:rFonts w:eastAsia="SimSun"/>
          <w:lang w:eastAsia="zh-CN"/>
        </w:rPr>
      </w:pPr>
      <w:r>
        <w:rPr>
          <w:rFonts w:eastAsia="SimSun"/>
          <w:lang w:eastAsia="zh-CN"/>
        </w:rPr>
        <w:t>Conclusions</w:t>
      </w:r>
    </w:p>
    <w:p w14:paraId="29909196" w14:textId="77777777" w:rsidR="00314112" w:rsidRDefault="00314112" w:rsidP="00314112">
      <w:pPr>
        <w:rPr>
          <w:lang w:val="en-US" w:eastAsia="zh-CN"/>
        </w:rPr>
      </w:pPr>
      <w:r>
        <w:rPr>
          <w:lang w:val="en-US" w:eastAsia="zh-CN"/>
        </w:rPr>
        <w:t>In this paper we analyze the double correction problem and provide our thoughts about how to specify the corresponding requirements so that the problem is properly addressed. In our view, this problem is one of the symbolic and essential issues which shape the characteristics of NR NTN system timing operations.</w:t>
      </w:r>
    </w:p>
    <w:p w14:paraId="65888EA5" w14:textId="77777777" w:rsidR="00314112" w:rsidRPr="00354E3A" w:rsidRDefault="00314112" w:rsidP="00314112">
      <w:pPr>
        <w:rPr>
          <w:b/>
          <w:bCs/>
          <w:lang w:eastAsia="zh-CN"/>
        </w:rPr>
      </w:pPr>
      <w:r w:rsidRPr="00354E3A">
        <w:rPr>
          <w:b/>
          <w:bCs/>
          <w:lang w:eastAsia="zh-CN"/>
        </w:rPr>
        <w:t>Proposal 1: 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42D541C2" w14:textId="77777777" w:rsidR="00314112" w:rsidRDefault="00314112" w:rsidP="00314112">
      <w:pPr>
        <w:rPr>
          <w:b/>
          <w:bCs/>
          <w:lang w:eastAsia="zh-CN"/>
        </w:rPr>
      </w:pPr>
      <w:r w:rsidRPr="008C24E6">
        <w:rPr>
          <w:b/>
          <w:bCs/>
          <w:lang w:eastAsia="zh-CN"/>
        </w:rPr>
        <w:t xml:space="preserve">Proposal 2: RAN4 is to define a requirement based on the framework of gradual timing adjustment accuracy requirement, </w:t>
      </w:r>
      <w:proofErr w:type="gramStart"/>
      <w:r w:rsidRPr="008C24E6">
        <w:rPr>
          <w:b/>
          <w:bCs/>
          <w:lang w:eastAsia="zh-CN"/>
        </w:rPr>
        <w:t>e.g.</w:t>
      </w:r>
      <w:proofErr w:type="gramEnd"/>
      <w:r w:rsidRPr="008C24E6">
        <w:rPr>
          <w:b/>
          <w:bCs/>
          <w:lang w:eastAsia="zh-CN"/>
        </w:rPr>
        <w:t xml:space="preserve"> the requirement regulates the maximum amount of UE specific TA change of shot adjustment due to UE position change, the minimum and maximum aggregate adjustment rates.</w:t>
      </w:r>
    </w:p>
    <w:p w14:paraId="0A4885F3" w14:textId="77777777" w:rsidR="00314112" w:rsidRDefault="00314112" w:rsidP="00314112">
      <w:pPr>
        <w:rPr>
          <w:b/>
          <w:lang w:val="en-US" w:eastAsia="zh-CN"/>
        </w:rPr>
      </w:pPr>
      <w:r>
        <w:rPr>
          <w:b/>
          <w:lang w:val="en-US" w:eastAsia="zh-CN"/>
        </w:rPr>
        <w:t>Proposal 3</w:t>
      </w:r>
      <w:r w:rsidRPr="00245D5E">
        <w:rPr>
          <w:b/>
          <w:lang w:val="en-US" w:eastAsia="zh-CN"/>
        </w:rPr>
        <w:t xml:space="preserve">:  </w:t>
      </w:r>
      <w:r>
        <w:rPr>
          <w:b/>
          <w:lang w:val="en-US" w:eastAsia="zh-CN"/>
        </w:rPr>
        <w:t>Specify a set of stand-alone requirements where an NTN UE is required to adjust its UL timing towards updated UE specific TA gradually, according to minimum and maximum aggregate adjustment rate requirements.</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7B3A098C" w:rsidR="00245D5E" w:rsidRDefault="00245D5E" w:rsidP="00245D5E">
      <w:pPr>
        <w:rPr>
          <w:lang w:val="en-US" w:eastAsia="zh-CN"/>
        </w:rPr>
      </w:pPr>
      <w:r>
        <w:rPr>
          <w:lang w:val="en-US" w:eastAsia="zh-CN"/>
        </w:rPr>
        <w:t xml:space="preserve">[1] </w:t>
      </w:r>
      <w:r w:rsidR="00695018" w:rsidRPr="00695018">
        <w:rPr>
          <w:lang w:val="en-US" w:eastAsia="zh-CN"/>
        </w:rPr>
        <w:t>R1-2110604</w:t>
      </w:r>
      <w:r w:rsidR="0095154E">
        <w:rPr>
          <w:lang w:val="en-US" w:eastAsia="zh-CN"/>
        </w:rPr>
        <w:t xml:space="preserve">, </w:t>
      </w:r>
      <w:r w:rsidR="00695018" w:rsidRPr="00695018">
        <w:rPr>
          <w:lang w:val="en-US" w:eastAsia="zh-CN"/>
        </w:rPr>
        <w:t>LS on Combination of open and closed loop TA control in NTN</w:t>
      </w:r>
      <w:r w:rsidR="00F77BD5">
        <w:rPr>
          <w:lang w:val="en-US" w:eastAsia="zh-CN"/>
        </w:rPr>
        <w:t xml:space="preserve">, </w:t>
      </w:r>
      <w:r w:rsidR="00695018">
        <w:rPr>
          <w:lang w:val="en-US" w:eastAsia="zh-CN"/>
        </w:rPr>
        <w:t>Thales</w:t>
      </w:r>
    </w:p>
    <w:p w14:paraId="7C8D3EDC" w14:textId="5D8E050B" w:rsidR="00695018" w:rsidRDefault="00695018" w:rsidP="00245D5E">
      <w:pPr>
        <w:rPr>
          <w:lang w:val="en-US" w:eastAsia="zh-CN"/>
        </w:rPr>
      </w:pPr>
      <w:r>
        <w:rPr>
          <w:lang w:val="en-US" w:eastAsia="zh-CN"/>
        </w:rPr>
        <w:t xml:space="preserve">[2] R4-2120417, </w:t>
      </w:r>
      <w:r w:rsidRPr="00695018">
        <w:rPr>
          <w:lang w:val="en-US" w:eastAsia="zh-CN"/>
        </w:rPr>
        <w:t>Reply LS on combination of open and closed loop TA control in NTN</w:t>
      </w:r>
      <w:r>
        <w:rPr>
          <w:lang w:val="en-US" w:eastAsia="zh-CN"/>
        </w:rPr>
        <w:t>, Qualcomm</w:t>
      </w:r>
    </w:p>
    <w:p w14:paraId="2C646D62" w14:textId="7585E4B1" w:rsidR="00695018" w:rsidRDefault="00695018" w:rsidP="00245D5E">
      <w:pPr>
        <w:rPr>
          <w:lang w:val="en-US" w:eastAsia="zh-CN"/>
        </w:rPr>
      </w:pPr>
      <w:r>
        <w:rPr>
          <w:lang w:val="en-US" w:eastAsia="zh-CN"/>
        </w:rPr>
        <w:lastRenderedPageBreak/>
        <w:t xml:space="preserve">[3] R4-2120310, </w:t>
      </w:r>
      <w:r w:rsidRPr="00695018">
        <w:rPr>
          <w:lang w:val="en-US" w:eastAsia="zh-CN"/>
        </w:rPr>
        <w:t>WF on GNSS-related and timing requirements for NR NTN</w:t>
      </w:r>
      <w:r>
        <w:rPr>
          <w:lang w:val="en-US" w:eastAsia="zh-CN"/>
        </w:rPr>
        <w:t>, Xiaomi</w:t>
      </w:r>
    </w:p>
    <w:sectPr w:rsidR="00695018" w:rsidSect="00004C6F">
      <w:footnotePr>
        <w:numRestart w:val="eachSect"/>
      </w:footnotePr>
      <w:pgSz w:w="11907" w:h="16840" w:code="9"/>
      <w:pgMar w:top="720" w:right="720" w:bottom="720" w:left="720"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A3A3E" w14:textId="77777777" w:rsidR="00476F29" w:rsidRDefault="00476F29">
      <w:r>
        <w:separator/>
      </w:r>
    </w:p>
  </w:endnote>
  <w:endnote w:type="continuationSeparator" w:id="0">
    <w:p w14:paraId="40140D9C" w14:textId="77777777" w:rsidR="00476F29" w:rsidRDefault="0047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2FBC" w14:textId="77777777" w:rsidR="00AD0086" w:rsidRDefault="00AD0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EDBB4" w14:textId="77777777" w:rsidR="00AD0086" w:rsidRDefault="00AD0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ACA1B" w14:textId="77777777" w:rsidR="00AD0086" w:rsidRDefault="00AD0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DA853" w14:textId="77777777" w:rsidR="00476F29" w:rsidRDefault="00476F29">
      <w:r>
        <w:separator/>
      </w:r>
    </w:p>
  </w:footnote>
  <w:footnote w:type="continuationSeparator" w:id="0">
    <w:p w14:paraId="67DE81C0" w14:textId="77777777" w:rsidR="00476F29" w:rsidRDefault="0047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6E5F5" w14:textId="77777777" w:rsidR="00AD0086" w:rsidRDefault="00AD0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E5A97" w14:textId="77777777" w:rsidR="00AD0086" w:rsidRDefault="00AD0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3BDE" w14:textId="77777777" w:rsidR="00AD0086" w:rsidRDefault="00AD0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6" type="#_x0000_t75" style="width:113pt;height:76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C44AEE"/>
    <w:multiLevelType w:val="hybridMultilevel"/>
    <w:tmpl w:val="03983D7C"/>
    <w:lvl w:ilvl="0" w:tplc="21C4AAA6">
      <w:start w:val="1"/>
      <w:numFmt w:val="bullet"/>
      <w:lvlText w:val="•"/>
      <w:lvlJc w:val="left"/>
      <w:pPr>
        <w:tabs>
          <w:tab w:val="num" w:pos="720"/>
        </w:tabs>
        <w:ind w:left="720" w:hanging="360"/>
      </w:pPr>
      <w:rPr>
        <w:rFonts w:ascii="Arial" w:hAnsi="Arial" w:hint="default"/>
      </w:rPr>
    </w:lvl>
    <w:lvl w:ilvl="1" w:tplc="0D9A304A">
      <w:numFmt w:val="none"/>
      <w:lvlText w:val=""/>
      <w:lvlJc w:val="left"/>
      <w:pPr>
        <w:tabs>
          <w:tab w:val="num" w:pos="360"/>
        </w:tabs>
      </w:pPr>
    </w:lvl>
    <w:lvl w:ilvl="2" w:tplc="F9D02D66">
      <w:start w:val="1"/>
      <w:numFmt w:val="bullet"/>
      <w:lvlText w:val="•"/>
      <w:lvlJc w:val="left"/>
      <w:pPr>
        <w:tabs>
          <w:tab w:val="num" w:pos="2160"/>
        </w:tabs>
        <w:ind w:left="2160" w:hanging="360"/>
      </w:pPr>
      <w:rPr>
        <w:rFonts w:ascii="Arial" w:hAnsi="Arial" w:hint="default"/>
      </w:rPr>
    </w:lvl>
    <w:lvl w:ilvl="3" w:tplc="F01A945C" w:tentative="1">
      <w:start w:val="1"/>
      <w:numFmt w:val="bullet"/>
      <w:lvlText w:val="•"/>
      <w:lvlJc w:val="left"/>
      <w:pPr>
        <w:tabs>
          <w:tab w:val="num" w:pos="2880"/>
        </w:tabs>
        <w:ind w:left="2880" w:hanging="360"/>
      </w:pPr>
      <w:rPr>
        <w:rFonts w:ascii="Arial" w:hAnsi="Arial" w:hint="default"/>
      </w:rPr>
    </w:lvl>
    <w:lvl w:ilvl="4" w:tplc="00D6748E" w:tentative="1">
      <w:start w:val="1"/>
      <w:numFmt w:val="bullet"/>
      <w:lvlText w:val="•"/>
      <w:lvlJc w:val="left"/>
      <w:pPr>
        <w:tabs>
          <w:tab w:val="num" w:pos="3600"/>
        </w:tabs>
        <w:ind w:left="3600" w:hanging="360"/>
      </w:pPr>
      <w:rPr>
        <w:rFonts w:ascii="Arial" w:hAnsi="Arial" w:hint="default"/>
      </w:rPr>
    </w:lvl>
    <w:lvl w:ilvl="5" w:tplc="C7B86182" w:tentative="1">
      <w:start w:val="1"/>
      <w:numFmt w:val="bullet"/>
      <w:lvlText w:val="•"/>
      <w:lvlJc w:val="left"/>
      <w:pPr>
        <w:tabs>
          <w:tab w:val="num" w:pos="4320"/>
        </w:tabs>
        <w:ind w:left="4320" w:hanging="360"/>
      </w:pPr>
      <w:rPr>
        <w:rFonts w:ascii="Arial" w:hAnsi="Arial" w:hint="default"/>
      </w:rPr>
    </w:lvl>
    <w:lvl w:ilvl="6" w:tplc="3C644568" w:tentative="1">
      <w:start w:val="1"/>
      <w:numFmt w:val="bullet"/>
      <w:lvlText w:val="•"/>
      <w:lvlJc w:val="left"/>
      <w:pPr>
        <w:tabs>
          <w:tab w:val="num" w:pos="5040"/>
        </w:tabs>
        <w:ind w:left="5040" w:hanging="360"/>
      </w:pPr>
      <w:rPr>
        <w:rFonts w:ascii="Arial" w:hAnsi="Arial" w:hint="default"/>
      </w:rPr>
    </w:lvl>
    <w:lvl w:ilvl="7" w:tplc="3C781456" w:tentative="1">
      <w:start w:val="1"/>
      <w:numFmt w:val="bullet"/>
      <w:lvlText w:val="•"/>
      <w:lvlJc w:val="left"/>
      <w:pPr>
        <w:tabs>
          <w:tab w:val="num" w:pos="5760"/>
        </w:tabs>
        <w:ind w:left="5760" w:hanging="360"/>
      </w:pPr>
      <w:rPr>
        <w:rFonts w:ascii="Arial" w:hAnsi="Arial" w:hint="default"/>
      </w:rPr>
    </w:lvl>
    <w:lvl w:ilvl="8" w:tplc="91304F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753309"/>
    <w:multiLevelType w:val="hybridMultilevel"/>
    <w:tmpl w:val="6A78EFFE"/>
    <w:lvl w:ilvl="0" w:tplc="1C80BA0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F72592"/>
    <w:multiLevelType w:val="hybridMultilevel"/>
    <w:tmpl w:val="59B4A78A"/>
    <w:lvl w:ilvl="0" w:tplc="C35073BE">
      <w:start w:val="1"/>
      <w:numFmt w:val="bullet"/>
      <w:lvlText w:val="•"/>
      <w:lvlJc w:val="left"/>
      <w:pPr>
        <w:tabs>
          <w:tab w:val="num" w:pos="720"/>
        </w:tabs>
        <w:ind w:left="720" w:hanging="360"/>
      </w:pPr>
      <w:rPr>
        <w:rFonts w:ascii="Arial" w:hAnsi="Arial" w:hint="default"/>
      </w:rPr>
    </w:lvl>
    <w:lvl w:ilvl="1" w:tplc="CCA8D0DE">
      <w:numFmt w:val="none"/>
      <w:lvlText w:val=""/>
      <w:lvlJc w:val="left"/>
      <w:pPr>
        <w:tabs>
          <w:tab w:val="num" w:pos="360"/>
        </w:tabs>
      </w:pPr>
    </w:lvl>
    <w:lvl w:ilvl="2" w:tplc="92EABF52">
      <w:start w:val="1"/>
      <w:numFmt w:val="bullet"/>
      <w:lvlText w:val="•"/>
      <w:lvlJc w:val="left"/>
      <w:pPr>
        <w:tabs>
          <w:tab w:val="num" w:pos="2160"/>
        </w:tabs>
        <w:ind w:left="2160" w:hanging="360"/>
      </w:pPr>
      <w:rPr>
        <w:rFonts w:ascii="Arial" w:hAnsi="Arial" w:hint="default"/>
      </w:rPr>
    </w:lvl>
    <w:lvl w:ilvl="3" w:tplc="606805E6">
      <w:numFmt w:val="none"/>
      <w:lvlText w:val=""/>
      <w:lvlJc w:val="left"/>
      <w:pPr>
        <w:tabs>
          <w:tab w:val="num" w:pos="360"/>
        </w:tabs>
      </w:pPr>
    </w:lvl>
    <w:lvl w:ilvl="4" w:tplc="9B348D90" w:tentative="1">
      <w:start w:val="1"/>
      <w:numFmt w:val="bullet"/>
      <w:lvlText w:val="•"/>
      <w:lvlJc w:val="left"/>
      <w:pPr>
        <w:tabs>
          <w:tab w:val="num" w:pos="3600"/>
        </w:tabs>
        <w:ind w:left="3600" w:hanging="360"/>
      </w:pPr>
      <w:rPr>
        <w:rFonts w:ascii="Arial" w:hAnsi="Arial" w:hint="default"/>
      </w:rPr>
    </w:lvl>
    <w:lvl w:ilvl="5" w:tplc="42008E20" w:tentative="1">
      <w:start w:val="1"/>
      <w:numFmt w:val="bullet"/>
      <w:lvlText w:val="•"/>
      <w:lvlJc w:val="left"/>
      <w:pPr>
        <w:tabs>
          <w:tab w:val="num" w:pos="4320"/>
        </w:tabs>
        <w:ind w:left="4320" w:hanging="360"/>
      </w:pPr>
      <w:rPr>
        <w:rFonts w:ascii="Arial" w:hAnsi="Arial" w:hint="default"/>
      </w:rPr>
    </w:lvl>
    <w:lvl w:ilvl="6" w:tplc="FB64CC3A" w:tentative="1">
      <w:start w:val="1"/>
      <w:numFmt w:val="bullet"/>
      <w:lvlText w:val="•"/>
      <w:lvlJc w:val="left"/>
      <w:pPr>
        <w:tabs>
          <w:tab w:val="num" w:pos="5040"/>
        </w:tabs>
        <w:ind w:left="5040" w:hanging="360"/>
      </w:pPr>
      <w:rPr>
        <w:rFonts w:ascii="Arial" w:hAnsi="Arial" w:hint="default"/>
      </w:rPr>
    </w:lvl>
    <w:lvl w:ilvl="7" w:tplc="5E50BF5C" w:tentative="1">
      <w:start w:val="1"/>
      <w:numFmt w:val="bullet"/>
      <w:lvlText w:val="•"/>
      <w:lvlJc w:val="left"/>
      <w:pPr>
        <w:tabs>
          <w:tab w:val="num" w:pos="5760"/>
        </w:tabs>
        <w:ind w:left="5760" w:hanging="360"/>
      </w:pPr>
      <w:rPr>
        <w:rFonts w:ascii="Arial" w:hAnsi="Arial" w:hint="default"/>
      </w:rPr>
    </w:lvl>
    <w:lvl w:ilvl="8" w:tplc="A3EC19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3"/>
  </w:num>
  <w:num w:numId="4">
    <w:abstractNumId w:val="44"/>
  </w:num>
  <w:num w:numId="5">
    <w:abstractNumId w:val="33"/>
  </w:num>
  <w:num w:numId="6">
    <w:abstractNumId w:val="4"/>
  </w:num>
  <w:num w:numId="7">
    <w:abstractNumId w:val="9"/>
  </w:num>
  <w:num w:numId="8">
    <w:abstractNumId w:val="24"/>
  </w:num>
  <w:num w:numId="9">
    <w:abstractNumId w:val="27"/>
  </w:num>
  <w:num w:numId="10">
    <w:abstractNumId w:val="8"/>
  </w:num>
  <w:num w:numId="11">
    <w:abstractNumId w:val="22"/>
  </w:num>
  <w:num w:numId="12">
    <w:abstractNumId w:val="16"/>
  </w:num>
  <w:num w:numId="13">
    <w:abstractNumId w:val="41"/>
  </w:num>
  <w:num w:numId="14">
    <w:abstractNumId w:val="7"/>
  </w:num>
  <w:num w:numId="15">
    <w:abstractNumId w:val="28"/>
  </w:num>
  <w:num w:numId="16">
    <w:abstractNumId w:val="18"/>
  </w:num>
  <w:num w:numId="17">
    <w:abstractNumId w:val="38"/>
  </w:num>
  <w:num w:numId="18">
    <w:abstractNumId w:val="42"/>
  </w:num>
  <w:num w:numId="19">
    <w:abstractNumId w:val="20"/>
  </w:num>
  <w:num w:numId="20">
    <w:abstractNumId w:val="19"/>
  </w:num>
  <w:num w:numId="21">
    <w:abstractNumId w:val="39"/>
  </w:num>
  <w:num w:numId="22">
    <w:abstractNumId w:val="25"/>
  </w:num>
  <w:num w:numId="23">
    <w:abstractNumId w:val="34"/>
  </w:num>
  <w:num w:numId="24">
    <w:abstractNumId w:val="5"/>
  </w:num>
  <w:num w:numId="25">
    <w:abstractNumId w:val="35"/>
  </w:num>
  <w:num w:numId="26">
    <w:abstractNumId w:val="31"/>
  </w:num>
  <w:num w:numId="27">
    <w:abstractNumId w:val="10"/>
  </w:num>
  <w:num w:numId="28">
    <w:abstractNumId w:val="32"/>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2"/>
  </w:num>
  <w:num w:numId="33">
    <w:abstractNumId w:val="29"/>
  </w:num>
  <w:num w:numId="34">
    <w:abstractNumId w:val="3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1"/>
  </w:num>
  <w:num w:numId="41">
    <w:abstractNumId w:val="40"/>
  </w:num>
  <w:num w:numId="42">
    <w:abstractNumId w:val="14"/>
  </w:num>
  <w:num w:numId="43">
    <w:abstractNumId w:val="21"/>
  </w:num>
  <w:num w:numId="44">
    <w:abstractNumId w:val="1"/>
  </w:num>
  <w:num w:numId="45">
    <w:abstractNumId w:val="36"/>
  </w:num>
  <w:num w:numId="46">
    <w:abstractNumId w:val="13"/>
  </w:num>
  <w:num w:numId="47">
    <w:abstractNumId w:val="5"/>
  </w:num>
  <w:num w:numId="48">
    <w:abstractNumId w:val="23"/>
  </w:num>
  <w:num w:numId="4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C6F"/>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4B9F"/>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5633"/>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B4B"/>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73C"/>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145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5C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12"/>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4E3A"/>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46C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5DC6"/>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1F4"/>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471"/>
    <w:rsid w:val="003B2704"/>
    <w:rsid w:val="003B2FBA"/>
    <w:rsid w:val="003B3117"/>
    <w:rsid w:val="003B39D2"/>
    <w:rsid w:val="003B4A8A"/>
    <w:rsid w:val="003B4F69"/>
    <w:rsid w:val="003B52A8"/>
    <w:rsid w:val="003B5800"/>
    <w:rsid w:val="003B6D11"/>
    <w:rsid w:val="003B7C7F"/>
    <w:rsid w:val="003C08B9"/>
    <w:rsid w:val="003C1312"/>
    <w:rsid w:val="003C1A26"/>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F29"/>
    <w:rsid w:val="0047739E"/>
    <w:rsid w:val="00482059"/>
    <w:rsid w:val="004822A4"/>
    <w:rsid w:val="004833FD"/>
    <w:rsid w:val="00483855"/>
    <w:rsid w:val="00483D3E"/>
    <w:rsid w:val="00483ED7"/>
    <w:rsid w:val="00484962"/>
    <w:rsid w:val="00484A65"/>
    <w:rsid w:val="004865D5"/>
    <w:rsid w:val="00486A01"/>
    <w:rsid w:val="00486D5B"/>
    <w:rsid w:val="00487123"/>
    <w:rsid w:val="004878F9"/>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AD"/>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9C"/>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48E"/>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018"/>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1FC"/>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AD4"/>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99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6E5B"/>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4E6"/>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061"/>
    <w:rsid w:val="008E726F"/>
    <w:rsid w:val="008E79CD"/>
    <w:rsid w:val="008E7DBA"/>
    <w:rsid w:val="008F1DD5"/>
    <w:rsid w:val="008F1F44"/>
    <w:rsid w:val="008F2B18"/>
    <w:rsid w:val="008F2E09"/>
    <w:rsid w:val="008F2E96"/>
    <w:rsid w:val="008F316F"/>
    <w:rsid w:val="008F3493"/>
    <w:rsid w:val="008F3C0D"/>
    <w:rsid w:val="008F4441"/>
    <w:rsid w:val="008F5B85"/>
    <w:rsid w:val="008F68FD"/>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6FFD"/>
    <w:rsid w:val="00927857"/>
    <w:rsid w:val="0093173F"/>
    <w:rsid w:val="00931E63"/>
    <w:rsid w:val="00931F19"/>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0D65"/>
    <w:rsid w:val="00991380"/>
    <w:rsid w:val="00992ABA"/>
    <w:rsid w:val="00992F7D"/>
    <w:rsid w:val="009930E6"/>
    <w:rsid w:val="00993252"/>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83D"/>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086"/>
    <w:rsid w:val="00AD0483"/>
    <w:rsid w:val="00AD0624"/>
    <w:rsid w:val="00AD0C9D"/>
    <w:rsid w:val="00AD1753"/>
    <w:rsid w:val="00AD1841"/>
    <w:rsid w:val="00AD2D57"/>
    <w:rsid w:val="00AD2F28"/>
    <w:rsid w:val="00AD3B6A"/>
    <w:rsid w:val="00AD482F"/>
    <w:rsid w:val="00AD530D"/>
    <w:rsid w:val="00AE0052"/>
    <w:rsid w:val="00AE0D43"/>
    <w:rsid w:val="00AE1857"/>
    <w:rsid w:val="00AE20D4"/>
    <w:rsid w:val="00AE241C"/>
    <w:rsid w:val="00AE28EA"/>
    <w:rsid w:val="00AE2CC3"/>
    <w:rsid w:val="00AE2DDF"/>
    <w:rsid w:val="00AE2E0A"/>
    <w:rsid w:val="00AE30CF"/>
    <w:rsid w:val="00AE3469"/>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5811"/>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3DD8"/>
    <w:rsid w:val="00C04139"/>
    <w:rsid w:val="00C041DD"/>
    <w:rsid w:val="00C042AF"/>
    <w:rsid w:val="00C05119"/>
    <w:rsid w:val="00C0547A"/>
    <w:rsid w:val="00C06126"/>
    <w:rsid w:val="00C06C41"/>
    <w:rsid w:val="00C075D7"/>
    <w:rsid w:val="00C11121"/>
    <w:rsid w:val="00C11712"/>
    <w:rsid w:val="00C138D6"/>
    <w:rsid w:val="00C1424A"/>
    <w:rsid w:val="00C155B2"/>
    <w:rsid w:val="00C15FC8"/>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62F5"/>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45A"/>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1D4A"/>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4A56"/>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4F2B"/>
    <w:rsid w:val="00E655FF"/>
    <w:rsid w:val="00E65E14"/>
    <w:rsid w:val="00E65EC5"/>
    <w:rsid w:val="00E65EFD"/>
    <w:rsid w:val="00E66729"/>
    <w:rsid w:val="00E66FEF"/>
    <w:rsid w:val="00E673C4"/>
    <w:rsid w:val="00E67CD2"/>
    <w:rsid w:val="00E67D48"/>
    <w:rsid w:val="00E71A7C"/>
    <w:rsid w:val="00E71C79"/>
    <w:rsid w:val="00E725F7"/>
    <w:rsid w:val="00E728C8"/>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50AE"/>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9FF"/>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1CE"/>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0B1"/>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251C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12345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5502535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1809333">
      <w:bodyDiv w:val="1"/>
      <w:marLeft w:val="0"/>
      <w:marRight w:val="0"/>
      <w:marTop w:val="0"/>
      <w:marBottom w:val="0"/>
      <w:divBdr>
        <w:top w:val="none" w:sz="0" w:space="0" w:color="auto"/>
        <w:left w:val="none" w:sz="0" w:space="0" w:color="auto"/>
        <w:bottom w:val="none" w:sz="0" w:space="0" w:color="auto"/>
        <w:right w:val="none" w:sz="0" w:space="0" w:color="auto"/>
      </w:divBdr>
      <w:divsChild>
        <w:div w:id="1087968753">
          <w:marLeft w:val="360"/>
          <w:marRight w:val="0"/>
          <w:marTop w:val="200"/>
          <w:marBottom w:val="0"/>
          <w:divBdr>
            <w:top w:val="none" w:sz="0" w:space="0" w:color="auto"/>
            <w:left w:val="none" w:sz="0" w:space="0" w:color="auto"/>
            <w:bottom w:val="none" w:sz="0" w:space="0" w:color="auto"/>
            <w:right w:val="none" w:sz="0" w:space="0" w:color="auto"/>
          </w:divBdr>
        </w:div>
        <w:div w:id="553010160">
          <w:marLeft w:val="1080"/>
          <w:marRight w:val="0"/>
          <w:marTop w:val="100"/>
          <w:marBottom w:val="0"/>
          <w:divBdr>
            <w:top w:val="none" w:sz="0" w:space="0" w:color="auto"/>
            <w:left w:val="none" w:sz="0" w:space="0" w:color="auto"/>
            <w:bottom w:val="none" w:sz="0" w:space="0" w:color="auto"/>
            <w:right w:val="none" w:sz="0" w:space="0" w:color="auto"/>
          </w:divBdr>
        </w:div>
        <w:div w:id="1924532379">
          <w:marLeft w:val="1080"/>
          <w:marRight w:val="0"/>
          <w:marTop w:val="100"/>
          <w:marBottom w:val="0"/>
          <w:divBdr>
            <w:top w:val="none" w:sz="0" w:space="0" w:color="auto"/>
            <w:left w:val="none" w:sz="0" w:space="0" w:color="auto"/>
            <w:bottom w:val="none" w:sz="0" w:space="0" w:color="auto"/>
            <w:right w:val="none" w:sz="0" w:space="0" w:color="auto"/>
          </w:divBdr>
        </w:div>
      </w:divsChild>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0589050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89587969">
      <w:bodyDiv w:val="1"/>
      <w:marLeft w:val="0"/>
      <w:marRight w:val="0"/>
      <w:marTop w:val="0"/>
      <w:marBottom w:val="0"/>
      <w:divBdr>
        <w:top w:val="none" w:sz="0" w:space="0" w:color="auto"/>
        <w:left w:val="none" w:sz="0" w:space="0" w:color="auto"/>
        <w:bottom w:val="none" w:sz="0" w:space="0" w:color="auto"/>
        <w:right w:val="none" w:sz="0" w:space="0" w:color="auto"/>
      </w:divBdr>
      <w:divsChild>
        <w:div w:id="1552232235">
          <w:marLeft w:val="360"/>
          <w:marRight w:val="0"/>
          <w:marTop w:val="200"/>
          <w:marBottom w:val="0"/>
          <w:divBdr>
            <w:top w:val="none" w:sz="0" w:space="0" w:color="auto"/>
            <w:left w:val="none" w:sz="0" w:space="0" w:color="auto"/>
            <w:bottom w:val="none" w:sz="0" w:space="0" w:color="auto"/>
            <w:right w:val="none" w:sz="0" w:space="0" w:color="auto"/>
          </w:divBdr>
        </w:div>
        <w:div w:id="1296180702">
          <w:marLeft w:val="1080"/>
          <w:marRight w:val="0"/>
          <w:marTop w:val="200"/>
          <w:marBottom w:val="0"/>
          <w:divBdr>
            <w:top w:val="none" w:sz="0" w:space="0" w:color="auto"/>
            <w:left w:val="none" w:sz="0" w:space="0" w:color="auto"/>
            <w:bottom w:val="none" w:sz="0" w:space="0" w:color="auto"/>
            <w:right w:val="none" w:sz="0" w:space="0" w:color="auto"/>
          </w:divBdr>
        </w:div>
        <w:div w:id="501311334">
          <w:marLeft w:val="1080"/>
          <w:marRight w:val="0"/>
          <w:marTop w:val="200"/>
          <w:marBottom w:val="0"/>
          <w:divBdr>
            <w:top w:val="none" w:sz="0" w:space="0" w:color="auto"/>
            <w:left w:val="none" w:sz="0" w:space="0" w:color="auto"/>
            <w:bottom w:val="none" w:sz="0" w:space="0" w:color="auto"/>
            <w:right w:val="none" w:sz="0" w:space="0" w:color="auto"/>
          </w:divBdr>
        </w:div>
        <w:div w:id="2131628091">
          <w:marLeft w:val="360"/>
          <w:marRight w:val="0"/>
          <w:marTop w:val="200"/>
          <w:marBottom w:val="0"/>
          <w:divBdr>
            <w:top w:val="none" w:sz="0" w:space="0" w:color="auto"/>
            <w:left w:val="none" w:sz="0" w:space="0" w:color="auto"/>
            <w:bottom w:val="none" w:sz="0" w:space="0" w:color="auto"/>
            <w:right w:val="none" w:sz="0" w:space="0" w:color="auto"/>
          </w:divBdr>
        </w:div>
        <w:div w:id="1586180856">
          <w:marLeft w:val="1080"/>
          <w:marRight w:val="0"/>
          <w:marTop w:val="100"/>
          <w:marBottom w:val="0"/>
          <w:divBdr>
            <w:top w:val="none" w:sz="0" w:space="0" w:color="auto"/>
            <w:left w:val="none" w:sz="0" w:space="0" w:color="auto"/>
            <w:bottom w:val="none" w:sz="0" w:space="0" w:color="auto"/>
            <w:right w:val="none" w:sz="0" w:space="0" w:color="auto"/>
          </w:divBdr>
        </w:div>
        <w:div w:id="364982516">
          <w:marLeft w:val="1080"/>
          <w:marRight w:val="0"/>
          <w:marTop w:val="100"/>
          <w:marBottom w:val="0"/>
          <w:divBdr>
            <w:top w:val="none" w:sz="0" w:space="0" w:color="auto"/>
            <w:left w:val="none" w:sz="0" w:space="0" w:color="auto"/>
            <w:bottom w:val="none" w:sz="0" w:space="0" w:color="auto"/>
            <w:right w:val="none" w:sz="0" w:space="0" w:color="auto"/>
          </w:divBdr>
        </w:div>
        <w:div w:id="1427117455">
          <w:marLeft w:val="360"/>
          <w:marRight w:val="0"/>
          <w:marTop w:val="200"/>
          <w:marBottom w:val="0"/>
          <w:divBdr>
            <w:top w:val="none" w:sz="0" w:space="0" w:color="auto"/>
            <w:left w:val="none" w:sz="0" w:space="0" w:color="auto"/>
            <w:bottom w:val="none" w:sz="0" w:space="0" w:color="auto"/>
            <w:right w:val="none" w:sz="0" w:space="0" w:color="auto"/>
          </w:divBdr>
        </w:div>
        <w:div w:id="628899380">
          <w:marLeft w:val="1080"/>
          <w:marRight w:val="0"/>
          <w:marTop w:val="100"/>
          <w:marBottom w:val="0"/>
          <w:divBdr>
            <w:top w:val="none" w:sz="0" w:space="0" w:color="auto"/>
            <w:left w:val="none" w:sz="0" w:space="0" w:color="auto"/>
            <w:bottom w:val="none" w:sz="0" w:space="0" w:color="auto"/>
            <w:right w:val="none" w:sz="0" w:space="0" w:color="auto"/>
          </w:divBdr>
        </w:div>
        <w:div w:id="277761952">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02311102">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1942154">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5</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48</cp:revision>
  <cp:lastPrinted>2009-04-22T01:01:00Z</cp:lastPrinted>
  <dcterms:created xsi:type="dcterms:W3CDTF">2020-08-07T11:02:00Z</dcterms:created>
  <dcterms:modified xsi:type="dcterms:W3CDTF">2022-01-10T12:11:00Z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